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6D802" w14:textId="77777777" w:rsidR="004768F0" w:rsidRPr="005D6852" w:rsidRDefault="004768F0" w:rsidP="004768F0">
      <w:pPr>
        <w:spacing w:after="0" w:line="240" w:lineRule="auto"/>
        <w:jc w:val="center"/>
        <w:rPr>
          <w:b/>
          <w:bCs/>
          <w:sz w:val="28"/>
          <w:szCs w:val="28"/>
        </w:rPr>
      </w:pPr>
      <w:bookmarkStart w:id="0" w:name="_GoBack"/>
      <w:bookmarkEnd w:id="0"/>
      <w:r w:rsidRPr="005D6852">
        <w:rPr>
          <w:b/>
          <w:bCs/>
          <w:sz w:val="28"/>
          <w:szCs w:val="28"/>
        </w:rPr>
        <w:t xml:space="preserve">Economic Development Corporations </w:t>
      </w:r>
    </w:p>
    <w:p w14:paraId="6AE6D803" w14:textId="77777777" w:rsidR="004768F0" w:rsidRPr="00D179B0" w:rsidRDefault="004768F0" w:rsidP="004768F0">
      <w:pPr>
        <w:spacing w:after="0" w:line="240" w:lineRule="auto"/>
        <w:jc w:val="center"/>
        <w:rPr>
          <w:b/>
          <w:bCs/>
          <w:sz w:val="24"/>
          <w:szCs w:val="24"/>
        </w:rPr>
      </w:pPr>
      <w:r w:rsidRPr="00D179B0">
        <w:rPr>
          <w:b/>
          <w:bCs/>
          <w:sz w:val="24"/>
          <w:szCs w:val="24"/>
        </w:rPr>
        <w:t>as a Tool for Advancing Municipal Economies in the Arab Community</w:t>
      </w:r>
    </w:p>
    <w:p w14:paraId="6AE6D804" w14:textId="77777777" w:rsidR="004768F0" w:rsidRDefault="004768F0" w:rsidP="004768F0">
      <w:pPr>
        <w:jc w:val="center"/>
        <w:rPr>
          <w:b/>
          <w:bCs/>
        </w:rPr>
      </w:pPr>
    </w:p>
    <w:p w14:paraId="6AE6D805" w14:textId="77777777" w:rsidR="004768F0" w:rsidRPr="000A220A" w:rsidRDefault="004768F0" w:rsidP="004768F0">
      <w:pPr>
        <w:rPr>
          <w:b/>
          <w:bCs/>
        </w:rPr>
      </w:pPr>
      <w:r w:rsidRPr="000A220A">
        <w:rPr>
          <w:b/>
          <w:bCs/>
        </w:rPr>
        <w:t>The Background</w:t>
      </w:r>
    </w:p>
    <w:p w14:paraId="6AE6D806" w14:textId="77777777" w:rsidR="004768F0" w:rsidRDefault="004768F0" w:rsidP="004768F0">
      <w:r>
        <w:t xml:space="preserve">Approximately 20% of Israel’s residents are Arab citizens, of whom some 75% live in 85 Arab-only municipalities.  As in many countries, municipal economies in Israel rely very heavily on the local tax base, but these Arab municipalities only generate approximately 1% of the total commercial tax revenue of the country, and only 2.4% of all “industrial zones” </w:t>
      </w:r>
      <w:proofErr w:type="gramStart"/>
      <w:r>
        <w:t>are located in</w:t>
      </w:r>
      <w:proofErr w:type="gramEnd"/>
      <w:r>
        <w:t xml:space="preserve"> Arab-only towns.  These facts both reflect and aggravate the poor economic wellbeing of these communities.</w:t>
      </w:r>
    </w:p>
    <w:p w14:paraId="6AE6D807" w14:textId="77777777" w:rsidR="004768F0" w:rsidRPr="00BF58FF" w:rsidRDefault="004768F0" w:rsidP="004768F0">
      <w:pPr>
        <w:rPr>
          <w:b/>
          <w:bCs/>
        </w:rPr>
      </w:pPr>
      <w:r>
        <w:rPr>
          <w:b/>
          <w:bCs/>
        </w:rPr>
        <w:t>The Tool</w:t>
      </w:r>
    </w:p>
    <w:p w14:paraId="6AE6D808" w14:textId="77777777" w:rsidR="004768F0" w:rsidRDefault="004768F0" w:rsidP="004768F0">
      <w:r>
        <w:t xml:space="preserve">One extremely viable means by which Israeli municipalities advance their local economies is through the establishment of so-called </w:t>
      </w:r>
      <w:r w:rsidRPr="00D179B0">
        <w:rPr>
          <w:b/>
          <w:bCs/>
        </w:rPr>
        <w:t>Economic Development Corporations</w:t>
      </w:r>
      <w:r>
        <w:t xml:space="preserve"> (EDCs).  An EDC is a semi-autonomous hybrid entity that exists within a municipality and bridges the gap between the local government and the business sector.  It is a business that is created for the express purpose of the generation of income and profit, while also benefitting the local community, but it is owned by the municipality, and all profits are retained by the locality.  Additionally, all EDCs are overseen by a local board of directors that ensures that all operations and projects do in fact benefit the community.</w:t>
      </w:r>
    </w:p>
    <w:p w14:paraId="6AE6D809" w14:textId="77777777" w:rsidR="004768F0" w:rsidRDefault="004768F0" w:rsidP="004768F0">
      <w:r>
        <w:t xml:space="preserve"> EDCs are extremely common in Jewish municipalities in </w:t>
      </w:r>
      <w:proofErr w:type="gramStart"/>
      <w:r>
        <w:t>Israel, and</w:t>
      </w:r>
      <w:proofErr w:type="gramEnd"/>
      <w:r>
        <w:t xml:space="preserve"> are a favored tool for boosting local economies.  There are approximately 360 EDCs throughout the country, with Tel Aviv alone having approximately 35, with more being created all the time.  Even so, in Arab-only municipalities there exist only </w:t>
      </w:r>
      <w:r w:rsidRPr="00233F15">
        <w:rPr>
          <w:b/>
          <w:bCs/>
          <w:i/>
          <w:iCs/>
        </w:rPr>
        <w:t>two</w:t>
      </w:r>
      <w:r>
        <w:t xml:space="preserve"> functioning EDCs, one in Um al-</w:t>
      </w:r>
      <w:proofErr w:type="spellStart"/>
      <w:r>
        <w:t>Fahm</w:t>
      </w:r>
      <w:proofErr w:type="spellEnd"/>
      <w:r>
        <w:t xml:space="preserve"> and one in </w:t>
      </w:r>
      <w:proofErr w:type="spellStart"/>
      <w:r>
        <w:t>K’far</w:t>
      </w:r>
      <w:proofErr w:type="spellEnd"/>
      <w:r>
        <w:t xml:space="preserve"> </w:t>
      </w:r>
      <w:proofErr w:type="spellStart"/>
      <w:r>
        <w:t>Qassem</w:t>
      </w:r>
      <w:proofErr w:type="spellEnd"/>
      <w:r>
        <w:t>.</w:t>
      </w:r>
    </w:p>
    <w:p w14:paraId="6AE6D80A" w14:textId="77777777" w:rsidR="004768F0" w:rsidRDefault="004768F0" w:rsidP="004768F0">
      <w:r>
        <w:t xml:space="preserve">The Injaz Center for Professional Arab Local Governance believes strongly that establishing EDCs in Arab municipalities is essential for relieving local poverty, increasing the economic health of Arab communities, creating a culture of economic forward-thinking, and, ultimately, improving the lives of everyday citizens.  Injaz knows that EDCs can work in Arab communities, because Injaz has been instrumental in establishing and developing the EDC in </w:t>
      </w:r>
      <w:proofErr w:type="spellStart"/>
      <w:r>
        <w:t>K’far</w:t>
      </w:r>
      <w:proofErr w:type="spellEnd"/>
      <w:r>
        <w:t xml:space="preserve"> </w:t>
      </w:r>
      <w:proofErr w:type="spellStart"/>
      <w:r>
        <w:t>Qassem</w:t>
      </w:r>
      <w:proofErr w:type="spellEnd"/>
      <w:r>
        <w:t>, which has transformed the community into an Arab hi-tech center that is expanding rapidly, gaining attention from politicians, the press and philanthropists, both within Israel and internationally.</w:t>
      </w:r>
    </w:p>
    <w:p w14:paraId="6AE6D80B" w14:textId="77777777" w:rsidR="004768F0" w:rsidRDefault="004768F0" w:rsidP="004768F0">
      <w:pPr>
        <w:rPr>
          <w:b/>
          <w:bCs/>
        </w:rPr>
      </w:pPr>
      <w:r>
        <w:rPr>
          <w:b/>
          <w:bCs/>
        </w:rPr>
        <w:t>The Benefits</w:t>
      </w:r>
    </w:p>
    <w:p w14:paraId="6AE6D80C" w14:textId="77777777" w:rsidR="004768F0" w:rsidRDefault="004768F0" w:rsidP="004768F0">
      <w:r>
        <w:t xml:space="preserve">The benefits of establishing EDCs in Arab municipalities are both economic </w:t>
      </w:r>
      <w:r w:rsidRPr="001D19B8">
        <w:t>and</w:t>
      </w:r>
      <w:r>
        <w:t xml:space="preserve"> </w:t>
      </w:r>
      <w:r w:rsidRPr="001D19B8">
        <w:rPr>
          <w:i/>
          <w:iCs/>
        </w:rPr>
        <w:t>cultural</w:t>
      </w:r>
      <w:r>
        <w:t xml:space="preserve">.  Culturally, an EDC can effectively shift the local mindset from one of despair and desperation to one of optimism and future-oriented growth.  Feeding this positive cultural change is the fact that the changes come from </w:t>
      </w:r>
      <w:r w:rsidRPr="00AF4BEA">
        <w:rPr>
          <w:i/>
          <w:iCs/>
        </w:rPr>
        <w:t>within</w:t>
      </w:r>
      <w:r>
        <w:t xml:space="preserve"> the community, boosting collective esteem and creating an overall brighter vision for the future.</w:t>
      </w:r>
    </w:p>
    <w:p w14:paraId="6AE6D80D" w14:textId="77777777" w:rsidR="004768F0" w:rsidRDefault="004768F0" w:rsidP="004768F0">
      <w:r>
        <w:t>Economically, there are concrete benefits to having an EDC, most notably:</w:t>
      </w:r>
    </w:p>
    <w:p w14:paraId="6AE6D80E" w14:textId="77777777" w:rsidR="004768F0" w:rsidRDefault="004768F0" w:rsidP="004768F0">
      <w:pPr>
        <w:numPr>
          <w:ilvl w:val="0"/>
          <w:numId w:val="27"/>
        </w:numPr>
        <w:spacing w:after="0" w:line="240" w:lineRule="auto"/>
        <w:rPr>
          <w:rFonts w:eastAsia="Times New Roman"/>
        </w:rPr>
      </w:pPr>
      <w:r>
        <w:rPr>
          <w:rFonts w:eastAsia="Times New Roman"/>
        </w:rPr>
        <w:lastRenderedPageBreak/>
        <w:t xml:space="preserve">EDCs have </w:t>
      </w:r>
      <w:proofErr w:type="gramStart"/>
      <w:r>
        <w:rPr>
          <w:rFonts w:eastAsia="Times New Roman"/>
        </w:rPr>
        <w:t>all of</w:t>
      </w:r>
      <w:proofErr w:type="gramEnd"/>
      <w:r>
        <w:rPr>
          <w:rFonts w:eastAsia="Times New Roman"/>
        </w:rPr>
        <w:t xml:space="preserve"> their paid federal valued-added tax (VAT) refunded, representing a savings of approximately 17%.</w:t>
      </w:r>
    </w:p>
    <w:p w14:paraId="6AE6D80F" w14:textId="77777777" w:rsidR="004768F0" w:rsidRDefault="004768F0" w:rsidP="004768F0">
      <w:pPr>
        <w:numPr>
          <w:ilvl w:val="0"/>
          <w:numId w:val="27"/>
        </w:numPr>
        <w:spacing w:after="0" w:line="240" w:lineRule="auto"/>
        <w:rPr>
          <w:rFonts w:eastAsia="Times New Roman"/>
        </w:rPr>
      </w:pPr>
      <w:r>
        <w:rPr>
          <w:rFonts w:eastAsia="Times New Roman"/>
        </w:rPr>
        <w:t>Unlike municipal departments, EDCs can charge and retain both management and monitoring fees, each of which can be between 3-10% of the total cost.</w:t>
      </w:r>
    </w:p>
    <w:p w14:paraId="6AE6D810" w14:textId="77777777" w:rsidR="004768F0" w:rsidRDefault="004768F0" w:rsidP="004768F0">
      <w:pPr>
        <w:numPr>
          <w:ilvl w:val="0"/>
          <w:numId w:val="27"/>
        </w:numPr>
        <w:spacing w:after="0" w:line="240" w:lineRule="auto"/>
        <w:rPr>
          <w:rFonts w:eastAsia="Times New Roman"/>
        </w:rPr>
      </w:pPr>
      <w:r>
        <w:rPr>
          <w:rFonts w:eastAsia="Times New Roman"/>
        </w:rPr>
        <w:t xml:space="preserve">Most municipal projects that occur outside of an EDC are priced according to the </w:t>
      </w:r>
      <w:proofErr w:type="spellStart"/>
      <w:r>
        <w:rPr>
          <w:rFonts w:eastAsia="Times New Roman"/>
        </w:rPr>
        <w:t>Dekel</w:t>
      </w:r>
      <w:proofErr w:type="spellEnd"/>
      <w:r>
        <w:rPr>
          <w:rFonts w:eastAsia="Times New Roman"/>
        </w:rPr>
        <w:t xml:space="preserve"> Pricing Index, which establishes "accepted industry standard" prices for goods and services.  It is known that the markup in this index is approximately 30% of the "real" costs, and a well-informed EDC can save tremendous sums simply by leveraging this knowledge.</w:t>
      </w:r>
    </w:p>
    <w:p w14:paraId="6AE6D811" w14:textId="77777777" w:rsidR="004768F0" w:rsidRDefault="004768F0" w:rsidP="004768F0">
      <w:pPr>
        <w:numPr>
          <w:ilvl w:val="0"/>
          <w:numId w:val="27"/>
        </w:numPr>
        <w:spacing w:after="0" w:line="240" w:lineRule="auto"/>
        <w:rPr>
          <w:rFonts w:eastAsia="Times New Roman"/>
        </w:rPr>
      </w:pPr>
      <w:r>
        <w:rPr>
          <w:rFonts w:eastAsia="Times New Roman"/>
        </w:rPr>
        <w:t xml:space="preserve">EDCs can be granted projects directly by the municipality, without the usual legal requirement of </w:t>
      </w:r>
      <w:proofErr w:type="gramStart"/>
      <w:r>
        <w:rPr>
          <w:rFonts w:eastAsia="Times New Roman"/>
        </w:rPr>
        <w:t>opening up</w:t>
      </w:r>
      <w:proofErr w:type="gramEnd"/>
      <w:r>
        <w:rPr>
          <w:rFonts w:eastAsia="Times New Roman"/>
        </w:rPr>
        <w:t xml:space="preserve"> the process to bidding.</w:t>
      </w:r>
    </w:p>
    <w:p w14:paraId="6AE6D812" w14:textId="77777777" w:rsidR="004768F0" w:rsidRDefault="004768F0" w:rsidP="004768F0">
      <w:pPr>
        <w:spacing w:after="0" w:line="240" w:lineRule="auto"/>
        <w:rPr>
          <w:rFonts w:eastAsia="Times New Roman"/>
        </w:rPr>
      </w:pPr>
    </w:p>
    <w:p w14:paraId="6AE6D813" w14:textId="77777777" w:rsidR="004768F0" w:rsidRDefault="004768F0" w:rsidP="004768F0">
      <w:pPr>
        <w:spacing w:after="0" w:line="240" w:lineRule="auto"/>
        <w:rPr>
          <w:rFonts w:eastAsia="Times New Roman"/>
        </w:rPr>
      </w:pPr>
      <w:r>
        <w:rPr>
          <w:rFonts w:eastAsia="Times New Roman"/>
        </w:rPr>
        <w:t xml:space="preserve">In the end, experts know that an effective EDC can </w:t>
      </w:r>
      <w:r w:rsidRPr="005F556B">
        <w:rPr>
          <w:rFonts w:eastAsia="Times New Roman"/>
          <w:b/>
          <w:bCs/>
        </w:rPr>
        <w:t xml:space="preserve">save a </w:t>
      </w:r>
      <w:r w:rsidRPr="008B78FD">
        <w:rPr>
          <w:rFonts w:eastAsia="Times New Roman"/>
          <w:b/>
          <w:bCs/>
          <w:u w:val="single"/>
        </w:rPr>
        <w:t>minimum</w:t>
      </w:r>
      <w:r w:rsidRPr="005F556B">
        <w:rPr>
          <w:rFonts w:eastAsia="Times New Roman"/>
          <w:b/>
          <w:bCs/>
        </w:rPr>
        <w:t xml:space="preserve"> of 20%</w:t>
      </w:r>
      <w:r>
        <w:rPr>
          <w:rFonts w:eastAsia="Times New Roman"/>
        </w:rPr>
        <w:t xml:space="preserve"> on projects undertaken as compared to what it would cost a typical municipal department.  These savings are </w:t>
      </w:r>
      <w:r w:rsidRPr="00AF4BEA">
        <w:rPr>
          <w:rFonts w:eastAsia="Times New Roman"/>
          <w:i/>
          <w:iCs/>
        </w:rPr>
        <w:t>in addition</w:t>
      </w:r>
      <w:r>
        <w:rPr>
          <w:rFonts w:eastAsia="Times New Roman"/>
        </w:rPr>
        <w:t xml:space="preserve"> to the economic benefits accrued when the EDCs are fully functioning, not to mention the cultural benefits described above.  In this sense, there are both short-term and long-term gains.  The short-term gains provide the foundation and momentum for sustainable future economic benefit.</w:t>
      </w:r>
    </w:p>
    <w:p w14:paraId="6AE6D814" w14:textId="77777777" w:rsidR="004768F0" w:rsidRDefault="004768F0" w:rsidP="004768F0">
      <w:pPr>
        <w:spacing w:after="0" w:line="240" w:lineRule="auto"/>
        <w:rPr>
          <w:rFonts w:eastAsia="Times New Roman"/>
        </w:rPr>
      </w:pPr>
    </w:p>
    <w:p w14:paraId="6AE6D815" w14:textId="77777777" w:rsidR="004768F0" w:rsidRDefault="004768F0" w:rsidP="004768F0">
      <w:pPr>
        <w:spacing w:after="0" w:line="240" w:lineRule="auto"/>
        <w:rPr>
          <w:rFonts w:eastAsia="Times New Roman"/>
        </w:rPr>
      </w:pPr>
      <w:r>
        <w:rPr>
          <w:rFonts w:eastAsia="Times New Roman"/>
        </w:rPr>
        <w:t>Finally, the Bank of Israel and Israeli economic experts agree that the next frontier for economic growth for the country will come from within the Arab community.  While the enormous economic boom that Israel enjoyed in the 1980s and 1990s from the immigration of two million highly-skilled Soviet Jews is now long past, and the “Start-Up Nation” only impacts the lives of a tiny portion of the population, economic growth from within the Arab community is an under developed opportunity that can no longer be overlooked, on both economic and moral grounds.</w:t>
      </w:r>
    </w:p>
    <w:p w14:paraId="6AE6D816" w14:textId="77777777" w:rsidR="004768F0" w:rsidRDefault="004768F0" w:rsidP="004768F0"/>
    <w:p w14:paraId="6AE6D817" w14:textId="77777777" w:rsidR="004768F0" w:rsidRDefault="004768F0" w:rsidP="004768F0">
      <w:pPr>
        <w:rPr>
          <w:b/>
          <w:bCs/>
        </w:rPr>
      </w:pPr>
      <w:r>
        <w:rPr>
          <w:b/>
          <w:bCs/>
        </w:rPr>
        <w:t>The Plan</w:t>
      </w:r>
    </w:p>
    <w:p w14:paraId="6AE6D818" w14:textId="77777777" w:rsidR="004768F0" w:rsidRPr="00AF4BEA" w:rsidRDefault="004768F0" w:rsidP="004768F0">
      <w:r>
        <w:t xml:space="preserve">Injaz will devote increasing amounts of its resources and expertise to the creation of functioning EDCs in Arab municipalities.  The “template” guiding these activities will be the ongoing successes realized in </w:t>
      </w:r>
      <w:proofErr w:type="spellStart"/>
      <w:r>
        <w:t>K’far</w:t>
      </w:r>
      <w:proofErr w:type="spellEnd"/>
      <w:r>
        <w:t xml:space="preserve"> </w:t>
      </w:r>
      <w:proofErr w:type="spellStart"/>
      <w:r>
        <w:t>Qassem</w:t>
      </w:r>
      <w:proofErr w:type="spellEnd"/>
      <w:r>
        <w:t xml:space="preserve">, a project in which Injaz has been deeply involved from the beginning.  With adequate financial resources, Injaz believes that it can effectively transform the economic wellbeing of Arab towns, and that the engine of that growth can be EDCs.  Injaz is particularly well-positioned to advance this work, due both to the credibility that it has established with Arab municipal leaders over the past ten years, and because Dr. Nili </w:t>
      </w:r>
      <w:proofErr w:type="spellStart"/>
      <w:r>
        <w:t>Schori</w:t>
      </w:r>
      <w:proofErr w:type="spellEnd"/>
      <w:r>
        <w:t xml:space="preserve">, one of Israel’s </w:t>
      </w:r>
      <w:proofErr w:type="gramStart"/>
      <w:r>
        <w:t>leading  experts</w:t>
      </w:r>
      <w:proofErr w:type="gramEnd"/>
      <w:r>
        <w:t xml:space="preserve"> on EDCs, works directly with Injaz and the municipalities on these groundbreaking projects.</w:t>
      </w:r>
    </w:p>
    <w:p w14:paraId="6AE6D819" w14:textId="77777777" w:rsidR="00693030" w:rsidRPr="00595D40" w:rsidRDefault="00693030" w:rsidP="004768F0">
      <w:pPr>
        <w:rPr>
          <w:rtl/>
        </w:rPr>
      </w:pPr>
    </w:p>
    <w:sectPr w:rsidR="00693030" w:rsidRPr="00595D40" w:rsidSect="00046F4B">
      <w:headerReference w:type="default" r:id="rId11"/>
      <w:footerReference w:type="default" r:id="rId12"/>
      <w:pgSz w:w="11906" w:h="16838"/>
      <w:pgMar w:top="2113" w:right="1418" w:bottom="1418" w:left="1418"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F697C" w14:textId="77777777" w:rsidR="00690E34" w:rsidRDefault="00690E34" w:rsidP="00ED1F31">
      <w:pPr>
        <w:spacing w:after="0" w:line="240" w:lineRule="auto"/>
      </w:pPr>
      <w:r>
        <w:separator/>
      </w:r>
    </w:p>
  </w:endnote>
  <w:endnote w:type="continuationSeparator" w:id="0">
    <w:p w14:paraId="118C7934" w14:textId="77777777" w:rsidR="00690E34" w:rsidRDefault="00690E34" w:rsidP="00ED1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Extra Bol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6D81F" w14:textId="77777777" w:rsidR="00190C5B" w:rsidRPr="00ED1F31" w:rsidRDefault="00190C5B" w:rsidP="00ED1F31">
    <w:pPr>
      <w:tabs>
        <w:tab w:val="center" w:pos="4153"/>
        <w:tab w:val="right" w:pos="8306"/>
      </w:tabs>
      <w:spacing w:after="0" w:line="360" w:lineRule="auto"/>
      <w:jc w:val="center"/>
      <w:rPr>
        <w:color w:val="0A1828"/>
        <w:sz w:val="16"/>
        <w:szCs w:val="16"/>
        <w:rtl/>
        <w:lang w:bidi="ar-JO"/>
      </w:rPr>
    </w:pPr>
    <w:r w:rsidRPr="00ED1F31">
      <w:rPr>
        <w:rFonts w:hint="cs"/>
        <w:color w:val="0A1828"/>
        <w:sz w:val="18"/>
        <w:szCs w:val="18"/>
        <w:rtl/>
        <w:lang w:bidi="ar-JO"/>
      </w:rPr>
      <w:t>___________________________________________________________________</w:t>
    </w:r>
  </w:p>
  <w:p w14:paraId="6AE6D820" w14:textId="77777777" w:rsidR="00190C5B" w:rsidRPr="00ED1F31" w:rsidRDefault="00190C5B" w:rsidP="00ED1F31">
    <w:pPr>
      <w:tabs>
        <w:tab w:val="center" w:pos="4153"/>
        <w:tab w:val="right" w:pos="8306"/>
      </w:tabs>
      <w:spacing w:after="0" w:line="360" w:lineRule="auto"/>
      <w:jc w:val="center"/>
      <w:rPr>
        <w:b/>
        <w:bCs/>
        <w:color w:val="0A1828"/>
        <w:sz w:val="16"/>
        <w:szCs w:val="16"/>
        <w:rtl/>
        <w:lang w:val="en-GB"/>
      </w:rPr>
    </w:pPr>
    <w:r w:rsidRPr="00ED1F31">
      <w:rPr>
        <w:b/>
        <w:bCs/>
        <w:color w:val="0A1828"/>
        <w:sz w:val="16"/>
        <w:szCs w:val="16"/>
        <w:rtl/>
        <w:lang w:bidi="ar-JO"/>
      </w:rPr>
      <w:t xml:space="preserve">ص.ب. </w:t>
    </w:r>
    <w:r w:rsidRPr="00ED1F31">
      <w:rPr>
        <w:b/>
        <w:bCs/>
        <w:color w:val="0A1828"/>
        <w:sz w:val="16"/>
        <w:szCs w:val="16"/>
        <w:rtl/>
        <w:lang w:bidi="ar-JO"/>
      </w:rPr>
      <w:t>50724 الناصرة 16000</w:t>
    </w:r>
    <w:r w:rsidRPr="00ED1F31">
      <w:rPr>
        <w:rFonts w:hint="cs"/>
        <w:b/>
        <w:bCs/>
        <w:color w:val="0A1828"/>
        <w:sz w:val="16"/>
        <w:szCs w:val="16"/>
        <w:rtl/>
        <w:lang w:bidi="ar-JO"/>
      </w:rPr>
      <w:t xml:space="preserve">  </w:t>
    </w:r>
    <w:r w:rsidRPr="00ED1F31">
      <w:rPr>
        <w:rFonts w:ascii="Arial" w:hAnsi="Arial"/>
        <w:b/>
        <w:bCs/>
        <w:color w:val="0A1828"/>
        <w:sz w:val="16"/>
        <w:szCs w:val="16"/>
        <w:rtl/>
        <w:lang w:bidi="ar-JO"/>
      </w:rPr>
      <w:t>•</w:t>
    </w:r>
    <w:r w:rsidRPr="00ED1F31">
      <w:rPr>
        <w:rFonts w:hint="cs"/>
        <w:b/>
        <w:bCs/>
        <w:color w:val="0A1828"/>
        <w:sz w:val="16"/>
        <w:szCs w:val="16"/>
        <w:rtl/>
        <w:lang w:bidi="ar-JO"/>
      </w:rPr>
      <w:t xml:space="preserve">  </w:t>
    </w:r>
    <w:r w:rsidRPr="00ED1F31">
      <w:rPr>
        <w:rFonts w:hint="cs"/>
        <w:b/>
        <w:bCs/>
        <w:color w:val="0A1828"/>
        <w:sz w:val="16"/>
        <w:szCs w:val="16"/>
        <w:rtl/>
      </w:rPr>
      <w:t xml:space="preserve">ת.ד  50724 נצרת 16000 </w:t>
    </w:r>
    <w:r w:rsidRPr="00ED1F31">
      <w:rPr>
        <w:rFonts w:hint="cs"/>
        <w:b/>
        <w:bCs/>
        <w:color w:val="0A1828"/>
        <w:sz w:val="16"/>
        <w:szCs w:val="16"/>
        <w:rtl/>
        <w:lang w:bidi="ar-JO"/>
      </w:rPr>
      <w:t xml:space="preserve"> </w:t>
    </w:r>
    <w:r w:rsidRPr="00ED1F31">
      <w:rPr>
        <w:rFonts w:ascii="Arial" w:hAnsi="Arial"/>
        <w:b/>
        <w:bCs/>
        <w:color w:val="0A1828"/>
        <w:sz w:val="16"/>
        <w:szCs w:val="16"/>
        <w:rtl/>
        <w:lang w:bidi="ar-JO"/>
      </w:rPr>
      <w:t>•</w:t>
    </w:r>
    <w:r w:rsidRPr="00ED1F31">
      <w:rPr>
        <w:rFonts w:hint="cs"/>
        <w:b/>
        <w:bCs/>
        <w:color w:val="0A1828"/>
        <w:sz w:val="16"/>
        <w:szCs w:val="16"/>
        <w:rtl/>
        <w:lang w:bidi="ar-JO"/>
      </w:rPr>
      <w:t xml:space="preserve">  </w:t>
    </w:r>
    <w:proofErr w:type="spellStart"/>
    <w:r w:rsidRPr="00ED1F31">
      <w:rPr>
        <w:b/>
        <w:bCs/>
        <w:color w:val="0A1828"/>
        <w:sz w:val="16"/>
        <w:szCs w:val="16"/>
        <w:lang w:val="en-GB"/>
      </w:rPr>
      <w:t>P.O.Box</w:t>
    </w:r>
    <w:proofErr w:type="spellEnd"/>
    <w:r w:rsidRPr="00ED1F31">
      <w:rPr>
        <w:b/>
        <w:bCs/>
        <w:color w:val="0A1828"/>
        <w:sz w:val="16"/>
        <w:szCs w:val="16"/>
        <w:lang w:val="en-GB"/>
      </w:rPr>
      <w:t xml:space="preserve"> 50724 Nazareth 16000</w:t>
    </w:r>
  </w:p>
  <w:p w14:paraId="6AE6D821" w14:textId="77777777" w:rsidR="00190C5B" w:rsidRPr="00ED1F31" w:rsidRDefault="00190C5B" w:rsidP="00ED1F31">
    <w:pPr>
      <w:tabs>
        <w:tab w:val="center" w:pos="4153"/>
        <w:tab w:val="right" w:pos="8306"/>
      </w:tabs>
      <w:spacing w:after="0" w:line="360" w:lineRule="auto"/>
      <w:jc w:val="center"/>
      <w:rPr>
        <w:rFonts w:ascii="Arial" w:hAnsi="Arial"/>
        <w:b/>
        <w:bCs/>
        <w:color w:val="0A1828"/>
        <w:sz w:val="16"/>
        <w:szCs w:val="16"/>
        <w:lang w:bidi="ar-JO"/>
      </w:rPr>
    </w:pPr>
    <w:r w:rsidRPr="00ED1F31">
      <w:rPr>
        <w:rFonts w:ascii="Arial" w:hAnsi="Arial"/>
        <w:b/>
        <w:bCs/>
        <w:color w:val="0A1828"/>
        <w:sz w:val="16"/>
        <w:szCs w:val="16"/>
        <w:lang w:val="en-GB"/>
      </w:rPr>
      <w:t>Tel: 04-</w:t>
    </w:r>
    <w:proofErr w:type="gramStart"/>
    <w:r w:rsidRPr="00ED1F31">
      <w:rPr>
        <w:rFonts w:ascii="Arial" w:hAnsi="Arial"/>
        <w:b/>
        <w:bCs/>
        <w:color w:val="0A1828"/>
        <w:sz w:val="16"/>
        <w:szCs w:val="16"/>
        <w:lang w:val="en-GB"/>
      </w:rPr>
      <w:t xml:space="preserve">6566572  </w:t>
    </w:r>
    <w:r w:rsidRPr="00ED1F31">
      <w:rPr>
        <w:rFonts w:ascii="Arial" w:hAnsi="Arial"/>
        <w:b/>
        <w:bCs/>
        <w:color w:val="0A1828"/>
        <w:sz w:val="16"/>
        <w:szCs w:val="16"/>
        <w:rtl/>
        <w:lang w:bidi="ar-JO"/>
      </w:rPr>
      <w:t>•</w:t>
    </w:r>
    <w:proofErr w:type="gramEnd"/>
    <w:r w:rsidRPr="00ED1F31">
      <w:rPr>
        <w:rFonts w:ascii="Arial" w:hAnsi="Arial"/>
        <w:b/>
        <w:bCs/>
        <w:color w:val="0A1828"/>
        <w:sz w:val="16"/>
        <w:szCs w:val="16"/>
        <w:lang w:bidi="ar-JO"/>
      </w:rPr>
      <w:t xml:space="preserve"> </w:t>
    </w:r>
    <w:r w:rsidRPr="00ED1F31">
      <w:rPr>
        <w:rFonts w:ascii="Arial" w:hAnsi="Arial"/>
        <w:b/>
        <w:bCs/>
        <w:color w:val="0A1828"/>
        <w:sz w:val="16"/>
        <w:szCs w:val="16"/>
        <w:lang w:val="en-GB"/>
      </w:rPr>
      <w:t xml:space="preserve"> Fax: 077-4320886 </w:t>
    </w:r>
    <w:r w:rsidRPr="00ED1F31">
      <w:rPr>
        <w:rFonts w:ascii="Arial" w:hAnsi="Arial"/>
        <w:b/>
        <w:bCs/>
        <w:color w:val="0A1828"/>
        <w:sz w:val="16"/>
        <w:szCs w:val="16"/>
        <w:rtl/>
        <w:lang w:bidi="ar-JO"/>
      </w:rPr>
      <w:t>•</w:t>
    </w:r>
    <w:r w:rsidRPr="00ED1F31">
      <w:rPr>
        <w:rFonts w:ascii="Arial" w:hAnsi="Arial"/>
        <w:b/>
        <w:bCs/>
        <w:color w:val="0A1828"/>
        <w:sz w:val="16"/>
        <w:szCs w:val="16"/>
        <w:lang w:bidi="ar-JO"/>
      </w:rPr>
      <w:t xml:space="preserve"> </w:t>
    </w:r>
  </w:p>
  <w:p w14:paraId="6AE6D822" w14:textId="77777777" w:rsidR="00190C5B" w:rsidRPr="00ED1F31" w:rsidRDefault="00690E34" w:rsidP="00ED1F31">
    <w:pPr>
      <w:tabs>
        <w:tab w:val="center" w:pos="4153"/>
        <w:tab w:val="right" w:pos="8306"/>
      </w:tabs>
      <w:spacing w:after="0" w:line="360" w:lineRule="auto"/>
      <w:jc w:val="center"/>
      <w:rPr>
        <w:rFonts w:ascii="Times New Roman" w:hAnsi="Times New Roman" w:cs="Times New Roman"/>
        <w:sz w:val="16"/>
        <w:szCs w:val="16"/>
        <w:rtl/>
      </w:rPr>
    </w:pPr>
    <w:hyperlink r:id="rId1" w:history="1">
      <w:r w:rsidR="00190C5B" w:rsidRPr="00ED1F31">
        <w:rPr>
          <w:rFonts w:ascii="Times New Roman" w:hAnsi="Times New Roman" w:cs="Times New Roman"/>
          <w:b/>
          <w:bCs/>
          <w:color w:val="0000FF"/>
          <w:sz w:val="16"/>
          <w:szCs w:val="16"/>
          <w:u w:val="single"/>
          <w:lang w:bidi="ar-SA"/>
        </w:rPr>
        <w:t>injaz@injaz.org.il</w:t>
      </w:r>
    </w:hyperlink>
  </w:p>
  <w:p w14:paraId="6AE6D823" w14:textId="77777777" w:rsidR="00190C5B" w:rsidRPr="00ED1F31" w:rsidRDefault="00190C5B" w:rsidP="00ED1F31">
    <w:pPr>
      <w:tabs>
        <w:tab w:val="center" w:pos="4153"/>
        <w:tab w:val="right" w:pos="8306"/>
      </w:tabs>
      <w:spacing w:after="0" w:line="360" w:lineRule="auto"/>
      <w:jc w:val="center"/>
      <w:rPr>
        <w:rFonts w:ascii="Albertus Extra Bold" w:hAnsi="Albertus Extra Bold"/>
        <w:b/>
        <w:bCs/>
        <w:color w:val="0A1828"/>
        <w:sz w:val="16"/>
        <w:szCs w:val="16"/>
        <w:lang w:val="en-GB"/>
      </w:rPr>
    </w:pPr>
    <w:r w:rsidRPr="00ED1F31">
      <w:rPr>
        <w:rFonts w:ascii="Albertus Extra Bold" w:hAnsi="Albertus Extra Bold"/>
        <w:b/>
        <w:bCs/>
        <w:color w:val="0A1828"/>
        <w:sz w:val="16"/>
        <w:szCs w:val="16"/>
        <w:lang w:val="en-GB"/>
      </w:rPr>
      <w:t>www.injaz.org.il</w:t>
    </w:r>
  </w:p>
  <w:p w14:paraId="6AE6D824" w14:textId="77777777" w:rsidR="00190C5B" w:rsidRDefault="00190C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48467" w14:textId="77777777" w:rsidR="00690E34" w:rsidRDefault="00690E34" w:rsidP="00ED1F31">
      <w:pPr>
        <w:spacing w:after="0" w:line="240" w:lineRule="auto"/>
      </w:pPr>
      <w:r>
        <w:separator/>
      </w:r>
    </w:p>
  </w:footnote>
  <w:footnote w:type="continuationSeparator" w:id="0">
    <w:p w14:paraId="325DD319" w14:textId="77777777" w:rsidR="00690E34" w:rsidRDefault="00690E34" w:rsidP="00ED1F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6D81E" w14:textId="77777777" w:rsidR="00190C5B" w:rsidRDefault="00190C5B" w:rsidP="00091A89">
    <w:pPr>
      <w:pStyle w:val="Header"/>
    </w:pPr>
    <w:r>
      <w:rPr>
        <w:rFonts w:hint="cs"/>
        <w:noProof/>
      </w:rPr>
      <w:drawing>
        <wp:anchor distT="0" distB="0" distL="114300" distR="114300" simplePos="0" relativeHeight="251658240" behindDoc="0" locked="0" layoutInCell="1" allowOverlap="1" wp14:anchorId="6AE6D825" wp14:editId="6AE6D826">
          <wp:simplePos x="0" y="0"/>
          <wp:positionH relativeFrom="column">
            <wp:posOffset>-528955</wp:posOffset>
          </wp:positionH>
          <wp:positionV relativeFrom="paragraph">
            <wp:posOffset>-135255</wp:posOffset>
          </wp:positionV>
          <wp:extent cx="6794496" cy="685800"/>
          <wp:effectExtent l="0" t="0" r="6985" b="0"/>
          <wp:wrapNone/>
          <wp:docPr id="10" name="תמונה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jaz log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94496" cy="685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64DBE"/>
    <w:multiLevelType w:val="hybridMultilevel"/>
    <w:tmpl w:val="400A2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E50C4"/>
    <w:multiLevelType w:val="hybridMultilevel"/>
    <w:tmpl w:val="BDA8520E"/>
    <w:lvl w:ilvl="0" w:tplc="8A80E2F0">
      <w:numFmt w:val="bullet"/>
      <w:lvlText w:val=""/>
      <w:lvlJc w:val="left"/>
      <w:pPr>
        <w:ind w:left="720" w:hanging="360"/>
      </w:pPr>
      <w:rPr>
        <w:rFonts w:ascii="Symbol" w:eastAsia="Calibr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C4BB2"/>
    <w:multiLevelType w:val="hybridMultilevel"/>
    <w:tmpl w:val="7CF2D692"/>
    <w:lvl w:ilvl="0" w:tplc="9BF21588">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956692"/>
    <w:multiLevelType w:val="hybridMultilevel"/>
    <w:tmpl w:val="49BAC0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35F4B27"/>
    <w:multiLevelType w:val="hybridMultilevel"/>
    <w:tmpl w:val="26C488C8"/>
    <w:lvl w:ilvl="0" w:tplc="4DA2CAD6">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946329"/>
    <w:multiLevelType w:val="hybridMultilevel"/>
    <w:tmpl w:val="CB3AF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AE22F0"/>
    <w:multiLevelType w:val="hybridMultilevel"/>
    <w:tmpl w:val="9320A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DC1216"/>
    <w:multiLevelType w:val="hybridMultilevel"/>
    <w:tmpl w:val="29342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170C0D"/>
    <w:multiLevelType w:val="hybridMultilevel"/>
    <w:tmpl w:val="43301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F92AA5"/>
    <w:multiLevelType w:val="hybridMultilevel"/>
    <w:tmpl w:val="819A73B2"/>
    <w:lvl w:ilvl="0" w:tplc="DB4A483C">
      <w:start w:val="1"/>
      <w:numFmt w:val="bullet"/>
      <w:lvlText w:val=""/>
      <w:lvlJc w:val="left"/>
      <w:pPr>
        <w:ind w:left="3240" w:hanging="360"/>
      </w:pPr>
      <w:rPr>
        <w:rFonts w:ascii="Symbol" w:eastAsia="Calibri" w:hAnsi="Symbol" w:cstheme="maj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35CF12B0"/>
    <w:multiLevelType w:val="hybridMultilevel"/>
    <w:tmpl w:val="93662E14"/>
    <w:lvl w:ilvl="0" w:tplc="AB3CCE5E">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206117"/>
    <w:multiLevelType w:val="hybridMultilevel"/>
    <w:tmpl w:val="F05A5A0E"/>
    <w:lvl w:ilvl="0" w:tplc="2244F56C">
      <w:start w:val="1"/>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0B772B"/>
    <w:multiLevelType w:val="hybridMultilevel"/>
    <w:tmpl w:val="BB7C335A"/>
    <w:lvl w:ilvl="0" w:tplc="ADF2A6C8">
      <w:numFmt w:val="bullet"/>
      <w:lvlText w:val=""/>
      <w:lvlJc w:val="left"/>
      <w:pPr>
        <w:ind w:left="2520" w:hanging="360"/>
      </w:pPr>
      <w:rPr>
        <w:rFonts w:ascii="Symbol" w:eastAsiaTheme="minorHAnsi"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3B7F3A9D"/>
    <w:multiLevelType w:val="hybridMultilevel"/>
    <w:tmpl w:val="A2ECD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D80FCA"/>
    <w:multiLevelType w:val="hybridMultilevel"/>
    <w:tmpl w:val="A63CB676"/>
    <w:lvl w:ilvl="0" w:tplc="D394802C">
      <w:start w:val="1"/>
      <w:numFmt w:val="decimal"/>
      <w:lvlText w:val="%1."/>
      <w:lvlJc w:val="left"/>
      <w:pPr>
        <w:ind w:left="2625" w:hanging="360"/>
      </w:pPr>
      <w:rPr>
        <w:rFonts w:hint="default"/>
      </w:rPr>
    </w:lvl>
    <w:lvl w:ilvl="1" w:tplc="04090019" w:tentative="1">
      <w:start w:val="1"/>
      <w:numFmt w:val="lowerLetter"/>
      <w:lvlText w:val="%2."/>
      <w:lvlJc w:val="left"/>
      <w:pPr>
        <w:ind w:left="3345" w:hanging="360"/>
      </w:pPr>
    </w:lvl>
    <w:lvl w:ilvl="2" w:tplc="0409001B" w:tentative="1">
      <w:start w:val="1"/>
      <w:numFmt w:val="lowerRoman"/>
      <w:lvlText w:val="%3."/>
      <w:lvlJc w:val="right"/>
      <w:pPr>
        <w:ind w:left="4065" w:hanging="180"/>
      </w:pPr>
    </w:lvl>
    <w:lvl w:ilvl="3" w:tplc="0409000F" w:tentative="1">
      <w:start w:val="1"/>
      <w:numFmt w:val="decimal"/>
      <w:lvlText w:val="%4."/>
      <w:lvlJc w:val="left"/>
      <w:pPr>
        <w:ind w:left="4785" w:hanging="360"/>
      </w:pPr>
    </w:lvl>
    <w:lvl w:ilvl="4" w:tplc="04090019" w:tentative="1">
      <w:start w:val="1"/>
      <w:numFmt w:val="lowerLetter"/>
      <w:lvlText w:val="%5."/>
      <w:lvlJc w:val="left"/>
      <w:pPr>
        <w:ind w:left="5505" w:hanging="360"/>
      </w:pPr>
    </w:lvl>
    <w:lvl w:ilvl="5" w:tplc="0409001B" w:tentative="1">
      <w:start w:val="1"/>
      <w:numFmt w:val="lowerRoman"/>
      <w:lvlText w:val="%6."/>
      <w:lvlJc w:val="right"/>
      <w:pPr>
        <w:ind w:left="6225" w:hanging="180"/>
      </w:pPr>
    </w:lvl>
    <w:lvl w:ilvl="6" w:tplc="0409000F" w:tentative="1">
      <w:start w:val="1"/>
      <w:numFmt w:val="decimal"/>
      <w:lvlText w:val="%7."/>
      <w:lvlJc w:val="left"/>
      <w:pPr>
        <w:ind w:left="6945" w:hanging="360"/>
      </w:pPr>
    </w:lvl>
    <w:lvl w:ilvl="7" w:tplc="04090019" w:tentative="1">
      <w:start w:val="1"/>
      <w:numFmt w:val="lowerLetter"/>
      <w:lvlText w:val="%8."/>
      <w:lvlJc w:val="left"/>
      <w:pPr>
        <w:ind w:left="7665" w:hanging="360"/>
      </w:pPr>
    </w:lvl>
    <w:lvl w:ilvl="8" w:tplc="0409001B" w:tentative="1">
      <w:start w:val="1"/>
      <w:numFmt w:val="lowerRoman"/>
      <w:lvlText w:val="%9."/>
      <w:lvlJc w:val="right"/>
      <w:pPr>
        <w:ind w:left="8385" w:hanging="180"/>
      </w:pPr>
    </w:lvl>
  </w:abstractNum>
  <w:abstractNum w:abstractNumId="15" w15:restartNumberingAfterBreak="0">
    <w:nsid w:val="3E9E6245"/>
    <w:multiLevelType w:val="hybridMultilevel"/>
    <w:tmpl w:val="9982B38A"/>
    <w:lvl w:ilvl="0" w:tplc="EDE295B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F671C7"/>
    <w:multiLevelType w:val="hybridMultilevel"/>
    <w:tmpl w:val="F6EEC238"/>
    <w:lvl w:ilvl="0" w:tplc="17346D06">
      <w:start w:val="1"/>
      <w:numFmt w:val="bullet"/>
      <w:lvlText w:val=""/>
      <w:lvlJc w:val="left"/>
      <w:pPr>
        <w:ind w:left="720" w:hanging="360"/>
      </w:pPr>
      <w:rPr>
        <w:rFonts w:ascii="Symbol" w:eastAsia="Calibr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205876"/>
    <w:multiLevelType w:val="hybridMultilevel"/>
    <w:tmpl w:val="A2F2A5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BC690B"/>
    <w:multiLevelType w:val="hybridMultilevel"/>
    <w:tmpl w:val="2EF62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9D29E0"/>
    <w:multiLevelType w:val="hybridMultilevel"/>
    <w:tmpl w:val="805CEBA2"/>
    <w:lvl w:ilvl="0" w:tplc="EFE24730">
      <w:start w:val="1"/>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5DBB2C03"/>
    <w:multiLevelType w:val="hybridMultilevel"/>
    <w:tmpl w:val="A94AE7DA"/>
    <w:lvl w:ilvl="0" w:tplc="9530D7A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30589B"/>
    <w:multiLevelType w:val="hybridMultilevel"/>
    <w:tmpl w:val="2DDA54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D5645A"/>
    <w:multiLevelType w:val="hybridMultilevel"/>
    <w:tmpl w:val="FE98B102"/>
    <w:lvl w:ilvl="0" w:tplc="B7D02042">
      <w:start w:val="9"/>
      <w:numFmt w:val="bullet"/>
      <w:lvlText w:val="-"/>
      <w:lvlJc w:val="left"/>
      <w:pPr>
        <w:ind w:left="2520" w:hanging="360"/>
      </w:pPr>
      <w:rPr>
        <w:rFonts w:ascii="Arial" w:eastAsia="Calibri"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71813E73"/>
    <w:multiLevelType w:val="hybridMultilevel"/>
    <w:tmpl w:val="005C0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213077"/>
    <w:multiLevelType w:val="hybridMultilevel"/>
    <w:tmpl w:val="46661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AF2267"/>
    <w:multiLevelType w:val="hybridMultilevel"/>
    <w:tmpl w:val="A9049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646C9E"/>
    <w:multiLevelType w:val="hybridMultilevel"/>
    <w:tmpl w:val="B5947BBE"/>
    <w:lvl w:ilvl="0" w:tplc="2E583F1E">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2"/>
  </w:num>
  <w:num w:numId="2">
    <w:abstractNumId w:val="18"/>
  </w:num>
  <w:num w:numId="3">
    <w:abstractNumId w:val="14"/>
  </w:num>
  <w:num w:numId="4">
    <w:abstractNumId w:val="19"/>
  </w:num>
  <w:num w:numId="5">
    <w:abstractNumId w:val="17"/>
  </w:num>
  <w:num w:numId="6">
    <w:abstractNumId w:val="20"/>
  </w:num>
  <w:num w:numId="7">
    <w:abstractNumId w:val="21"/>
  </w:num>
  <w:num w:numId="8">
    <w:abstractNumId w:val="9"/>
  </w:num>
  <w:num w:numId="9">
    <w:abstractNumId w:val="13"/>
  </w:num>
  <w:num w:numId="10">
    <w:abstractNumId w:val="4"/>
  </w:num>
  <w:num w:numId="11">
    <w:abstractNumId w:val="15"/>
  </w:num>
  <w:num w:numId="12">
    <w:abstractNumId w:val="23"/>
  </w:num>
  <w:num w:numId="13">
    <w:abstractNumId w:val="11"/>
  </w:num>
  <w:num w:numId="14">
    <w:abstractNumId w:val="6"/>
  </w:num>
  <w:num w:numId="15">
    <w:abstractNumId w:val="8"/>
  </w:num>
  <w:num w:numId="16">
    <w:abstractNumId w:val="10"/>
  </w:num>
  <w:num w:numId="17">
    <w:abstractNumId w:val="2"/>
  </w:num>
  <w:num w:numId="18">
    <w:abstractNumId w:val="12"/>
  </w:num>
  <w:num w:numId="19">
    <w:abstractNumId w:val="7"/>
  </w:num>
  <w:num w:numId="20">
    <w:abstractNumId w:val="0"/>
  </w:num>
  <w:num w:numId="21">
    <w:abstractNumId w:val="26"/>
  </w:num>
  <w:num w:numId="22">
    <w:abstractNumId w:val="1"/>
  </w:num>
  <w:num w:numId="23">
    <w:abstractNumId w:val="5"/>
  </w:num>
  <w:num w:numId="24">
    <w:abstractNumId w:val="24"/>
  </w:num>
  <w:num w:numId="25">
    <w:abstractNumId w:val="16"/>
  </w:num>
  <w:num w:numId="26">
    <w:abstractNumId w:val="25"/>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8F0"/>
    <w:rsid w:val="0000230D"/>
    <w:rsid w:val="00002FBE"/>
    <w:rsid w:val="00007AB8"/>
    <w:rsid w:val="00010A51"/>
    <w:rsid w:val="00010AD8"/>
    <w:rsid w:val="00011956"/>
    <w:rsid w:val="00013D21"/>
    <w:rsid w:val="00021489"/>
    <w:rsid w:val="000307F2"/>
    <w:rsid w:val="00031B5E"/>
    <w:rsid w:val="00037DFA"/>
    <w:rsid w:val="00037F21"/>
    <w:rsid w:val="00046F4B"/>
    <w:rsid w:val="00054232"/>
    <w:rsid w:val="0005468F"/>
    <w:rsid w:val="00056031"/>
    <w:rsid w:val="000620B8"/>
    <w:rsid w:val="0006253D"/>
    <w:rsid w:val="00073DA3"/>
    <w:rsid w:val="00074A5E"/>
    <w:rsid w:val="00076CEB"/>
    <w:rsid w:val="00076F6F"/>
    <w:rsid w:val="00090948"/>
    <w:rsid w:val="00091A89"/>
    <w:rsid w:val="00095B7E"/>
    <w:rsid w:val="000A32C0"/>
    <w:rsid w:val="000A462F"/>
    <w:rsid w:val="000A4FCF"/>
    <w:rsid w:val="000A6220"/>
    <w:rsid w:val="000B08EC"/>
    <w:rsid w:val="000B0E43"/>
    <w:rsid w:val="000B5EDD"/>
    <w:rsid w:val="000C0580"/>
    <w:rsid w:val="000C3FF0"/>
    <w:rsid w:val="000C49BC"/>
    <w:rsid w:val="000C50FF"/>
    <w:rsid w:val="000C79C2"/>
    <w:rsid w:val="000D0377"/>
    <w:rsid w:val="000D62E6"/>
    <w:rsid w:val="000E4E72"/>
    <w:rsid w:val="000E7318"/>
    <w:rsid w:val="000F163E"/>
    <w:rsid w:val="000F166B"/>
    <w:rsid w:val="00100662"/>
    <w:rsid w:val="001065CA"/>
    <w:rsid w:val="00134735"/>
    <w:rsid w:val="00143372"/>
    <w:rsid w:val="001439AC"/>
    <w:rsid w:val="0014797F"/>
    <w:rsid w:val="00150E7E"/>
    <w:rsid w:val="00155E61"/>
    <w:rsid w:val="001574FA"/>
    <w:rsid w:val="0015783D"/>
    <w:rsid w:val="00164765"/>
    <w:rsid w:val="00166B5A"/>
    <w:rsid w:val="00175015"/>
    <w:rsid w:val="00186A68"/>
    <w:rsid w:val="00190C5B"/>
    <w:rsid w:val="0019149A"/>
    <w:rsid w:val="00192BC5"/>
    <w:rsid w:val="001A1844"/>
    <w:rsid w:val="001A2448"/>
    <w:rsid w:val="001A253E"/>
    <w:rsid w:val="001A6C47"/>
    <w:rsid w:val="001B06E4"/>
    <w:rsid w:val="001B1149"/>
    <w:rsid w:val="001B3A35"/>
    <w:rsid w:val="001B3E1F"/>
    <w:rsid w:val="001C2A88"/>
    <w:rsid w:val="001C3312"/>
    <w:rsid w:val="001C4498"/>
    <w:rsid w:val="001C639D"/>
    <w:rsid w:val="001C725A"/>
    <w:rsid w:val="001D087B"/>
    <w:rsid w:val="001D563B"/>
    <w:rsid w:val="001D6E67"/>
    <w:rsid w:val="001D6F0F"/>
    <w:rsid w:val="001E4602"/>
    <w:rsid w:val="001E76E7"/>
    <w:rsid w:val="001F2A68"/>
    <w:rsid w:val="002007D8"/>
    <w:rsid w:val="00200DE3"/>
    <w:rsid w:val="002030CB"/>
    <w:rsid w:val="00223B40"/>
    <w:rsid w:val="00225941"/>
    <w:rsid w:val="00227448"/>
    <w:rsid w:val="002275B2"/>
    <w:rsid w:val="00227E84"/>
    <w:rsid w:val="002330EE"/>
    <w:rsid w:val="00233478"/>
    <w:rsid w:val="00234539"/>
    <w:rsid w:val="002349F3"/>
    <w:rsid w:val="0023512C"/>
    <w:rsid w:val="00235425"/>
    <w:rsid w:val="0024346F"/>
    <w:rsid w:val="00260DB3"/>
    <w:rsid w:val="002761B1"/>
    <w:rsid w:val="002769EF"/>
    <w:rsid w:val="0028195C"/>
    <w:rsid w:val="00291ABF"/>
    <w:rsid w:val="002A45D8"/>
    <w:rsid w:val="002A4FE6"/>
    <w:rsid w:val="002A777F"/>
    <w:rsid w:val="002B49B7"/>
    <w:rsid w:val="002D12E2"/>
    <w:rsid w:val="002D51F8"/>
    <w:rsid w:val="002E2308"/>
    <w:rsid w:val="002E2AE2"/>
    <w:rsid w:val="002E2BC8"/>
    <w:rsid w:val="002E3B6E"/>
    <w:rsid w:val="002E44F2"/>
    <w:rsid w:val="002E5F22"/>
    <w:rsid w:val="002F26CD"/>
    <w:rsid w:val="002F3050"/>
    <w:rsid w:val="002F3698"/>
    <w:rsid w:val="002F390B"/>
    <w:rsid w:val="002F4080"/>
    <w:rsid w:val="002F41BA"/>
    <w:rsid w:val="002F7831"/>
    <w:rsid w:val="00305ABF"/>
    <w:rsid w:val="003075C1"/>
    <w:rsid w:val="003115A5"/>
    <w:rsid w:val="00312ED1"/>
    <w:rsid w:val="003151F7"/>
    <w:rsid w:val="0031750F"/>
    <w:rsid w:val="00322260"/>
    <w:rsid w:val="00324D21"/>
    <w:rsid w:val="00324D6B"/>
    <w:rsid w:val="003342FE"/>
    <w:rsid w:val="003357B9"/>
    <w:rsid w:val="00341B87"/>
    <w:rsid w:val="0034519D"/>
    <w:rsid w:val="00346713"/>
    <w:rsid w:val="00347060"/>
    <w:rsid w:val="0035355F"/>
    <w:rsid w:val="00364C57"/>
    <w:rsid w:val="0036525F"/>
    <w:rsid w:val="003721CA"/>
    <w:rsid w:val="003737F8"/>
    <w:rsid w:val="00375AF2"/>
    <w:rsid w:val="00382804"/>
    <w:rsid w:val="00382CE2"/>
    <w:rsid w:val="00382F81"/>
    <w:rsid w:val="003860A4"/>
    <w:rsid w:val="00386F61"/>
    <w:rsid w:val="00387338"/>
    <w:rsid w:val="00390FA6"/>
    <w:rsid w:val="0039374C"/>
    <w:rsid w:val="003A3BF7"/>
    <w:rsid w:val="003A4485"/>
    <w:rsid w:val="003A667F"/>
    <w:rsid w:val="003B001A"/>
    <w:rsid w:val="003B105F"/>
    <w:rsid w:val="003B34FC"/>
    <w:rsid w:val="003B794D"/>
    <w:rsid w:val="003C50D0"/>
    <w:rsid w:val="003C5755"/>
    <w:rsid w:val="003C6E84"/>
    <w:rsid w:val="003D396C"/>
    <w:rsid w:val="003D4CB2"/>
    <w:rsid w:val="003D4E07"/>
    <w:rsid w:val="003D59F0"/>
    <w:rsid w:val="003D64C5"/>
    <w:rsid w:val="003D7510"/>
    <w:rsid w:val="003E082E"/>
    <w:rsid w:val="003E0E6E"/>
    <w:rsid w:val="003E1C52"/>
    <w:rsid w:val="003E2BE3"/>
    <w:rsid w:val="003E2E5A"/>
    <w:rsid w:val="003E720C"/>
    <w:rsid w:val="003F0574"/>
    <w:rsid w:val="003F1143"/>
    <w:rsid w:val="003F5661"/>
    <w:rsid w:val="00402993"/>
    <w:rsid w:val="00402AD8"/>
    <w:rsid w:val="00406080"/>
    <w:rsid w:val="00406669"/>
    <w:rsid w:val="0041008C"/>
    <w:rsid w:val="00410663"/>
    <w:rsid w:val="0041292E"/>
    <w:rsid w:val="00412D12"/>
    <w:rsid w:val="0041609C"/>
    <w:rsid w:val="00417CD8"/>
    <w:rsid w:val="00420D12"/>
    <w:rsid w:val="0042182E"/>
    <w:rsid w:val="00421D51"/>
    <w:rsid w:val="00433399"/>
    <w:rsid w:val="0043402F"/>
    <w:rsid w:val="00443D1B"/>
    <w:rsid w:val="0045274E"/>
    <w:rsid w:val="00454DA1"/>
    <w:rsid w:val="00464FB6"/>
    <w:rsid w:val="0046600D"/>
    <w:rsid w:val="004747CB"/>
    <w:rsid w:val="004768F0"/>
    <w:rsid w:val="00482CBB"/>
    <w:rsid w:val="0048666F"/>
    <w:rsid w:val="0049586E"/>
    <w:rsid w:val="00497806"/>
    <w:rsid w:val="004A2973"/>
    <w:rsid w:val="004A2C19"/>
    <w:rsid w:val="004A38FB"/>
    <w:rsid w:val="004A7BD3"/>
    <w:rsid w:val="004B37B4"/>
    <w:rsid w:val="004C6C44"/>
    <w:rsid w:val="004D2438"/>
    <w:rsid w:val="004D5F63"/>
    <w:rsid w:val="004D7068"/>
    <w:rsid w:val="004E62CC"/>
    <w:rsid w:val="004E6CB3"/>
    <w:rsid w:val="004E77FB"/>
    <w:rsid w:val="004F6915"/>
    <w:rsid w:val="00502035"/>
    <w:rsid w:val="005212E7"/>
    <w:rsid w:val="005254B3"/>
    <w:rsid w:val="005362B3"/>
    <w:rsid w:val="005401F1"/>
    <w:rsid w:val="00550783"/>
    <w:rsid w:val="00567538"/>
    <w:rsid w:val="00573C70"/>
    <w:rsid w:val="00574CCE"/>
    <w:rsid w:val="00577263"/>
    <w:rsid w:val="00577982"/>
    <w:rsid w:val="00581850"/>
    <w:rsid w:val="0058623A"/>
    <w:rsid w:val="00595D40"/>
    <w:rsid w:val="005A1B89"/>
    <w:rsid w:val="005A2F08"/>
    <w:rsid w:val="005A2F32"/>
    <w:rsid w:val="005A35C7"/>
    <w:rsid w:val="005B65EA"/>
    <w:rsid w:val="005C5318"/>
    <w:rsid w:val="005D2881"/>
    <w:rsid w:val="005D4088"/>
    <w:rsid w:val="005D4EF0"/>
    <w:rsid w:val="005E70D6"/>
    <w:rsid w:val="005E78D4"/>
    <w:rsid w:val="005F0C3E"/>
    <w:rsid w:val="005F0FD5"/>
    <w:rsid w:val="00604FD9"/>
    <w:rsid w:val="00605C60"/>
    <w:rsid w:val="006074E7"/>
    <w:rsid w:val="00617430"/>
    <w:rsid w:val="00617C4F"/>
    <w:rsid w:val="00621135"/>
    <w:rsid w:val="006246B8"/>
    <w:rsid w:val="00625F83"/>
    <w:rsid w:val="00630225"/>
    <w:rsid w:val="00631816"/>
    <w:rsid w:val="00640743"/>
    <w:rsid w:val="00640A3D"/>
    <w:rsid w:val="00645E56"/>
    <w:rsid w:val="00646099"/>
    <w:rsid w:val="00650353"/>
    <w:rsid w:val="00651231"/>
    <w:rsid w:val="00654B36"/>
    <w:rsid w:val="0065546F"/>
    <w:rsid w:val="00655B2B"/>
    <w:rsid w:val="00672AD2"/>
    <w:rsid w:val="0067442D"/>
    <w:rsid w:val="00677C51"/>
    <w:rsid w:val="00690E34"/>
    <w:rsid w:val="00693030"/>
    <w:rsid w:val="00696574"/>
    <w:rsid w:val="006972BF"/>
    <w:rsid w:val="006A3A1D"/>
    <w:rsid w:val="006A78FF"/>
    <w:rsid w:val="006C1B9B"/>
    <w:rsid w:val="006C2504"/>
    <w:rsid w:val="006C65F5"/>
    <w:rsid w:val="006C6A34"/>
    <w:rsid w:val="006D2DCB"/>
    <w:rsid w:val="006D60A2"/>
    <w:rsid w:val="006D6AE1"/>
    <w:rsid w:val="006E089C"/>
    <w:rsid w:val="006E1076"/>
    <w:rsid w:val="006E312D"/>
    <w:rsid w:val="006E38B7"/>
    <w:rsid w:val="006E3B71"/>
    <w:rsid w:val="006E401F"/>
    <w:rsid w:val="006E46F0"/>
    <w:rsid w:val="00701EBC"/>
    <w:rsid w:val="00715755"/>
    <w:rsid w:val="007201A2"/>
    <w:rsid w:val="00720442"/>
    <w:rsid w:val="00737555"/>
    <w:rsid w:val="0074127E"/>
    <w:rsid w:val="0074243F"/>
    <w:rsid w:val="00744FE8"/>
    <w:rsid w:val="00751216"/>
    <w:rsid w:val="0075388C"/>
    <w:rsid w:val="00756272"/>
    <w:rsid w:val="00760C97"/>
    <w:rsid w:val="00760FDA"/>
    <w:rsid w:val="00776C75"/>
    <w:rsid w:val="007773B6"/>
    <w:rsid w:val="007773FA"/>
    <w:rsid w:val="00783452"/>
    <w:rsid w:val="00785531"/>
    <w:rsid w:val="007859AE"/>
    <w:rsid w:val="007906E3"/>
    <w:rsid w:val="007916C1"/>
    <w:rsid w:val="007A0398"/>
    <w:rsid w:val="007A18B1"/>
    <w:rsid w:val="007A412F"/>
    <w:rsid w:val="007B514B"/>
    <w:rsid w:val="007C2961"/>
    <w:rsid w:val="007C2EFD"/>
    <w:rsid w:val="007C6EC2"/>
    <w:rsid w:val="007D18BA"/>
    <w:rsid w:val="007D5FF1"/>
    <w:rsid w:val="007D72A6"/>
    <w:rsid w:val="007D7528"/>
    <w:rsid w:val="007E437D"/>
    <w:rsid w:val="007E53FA"/>
    <w:rsid w:val="007E641D"/>
    <w:rsid w:val="007E78F5"/>
    <w:rsid w:val="007F5C00"/>
    <w:rsid w:val="00801AAE"/>
    <w:rsid w:val="00804708"/>
    <w:rsid w:val="00811D31"/>
    <w:rsid w:val="0081614B"/>
    <w:rsid w:val="008206B8"/>
    <w:rsid w:val="00820EE7"/>
    <w:rsid w:val="00824F85"/>
    <w:rsid w:val="008277CB"/>
    <w:rsid w:val="00831AE0"/>
    <w:rsid w:val="00832310"/>
    <w:rsid w:val="008427AE"/>
    <w:rsid w:val="008453A5"/>
    <w:rsid w:val="008469A0"/>
    <w:rsid w:val="00851C8C"/>
    <w:rsid w:val="0085674A"/>
    <w:rsid w:val="00862D1E"/>
    <w:rsid w:val="008668D5"/>
    <w:rsid w:val="00877961"/>
    <w:rsid w:val="00881C6D"/>
    <w:rsid w:val="00882DE6"/>
    <w:rsid w:val="00883688"/>
    <w:rsid w:val="008849F6"/>
    <w:rsid w:val="0088542B"/>
    <w:rsid w:val="00886C14"/>
    <w:rsid w:val="008872AE"/>
    <w:rsid w:val="00890194"/>
    <w:rsid w:val="00896EBD"/>
    <w:rsid w:val="008975E8"/>
    <w:rsid w:val="008C68E2"/>
    <w:rsid w:val="008C6FC2"/>
    <w:rsid w:val="008C74E1"/>
    <w:rsid w:val="008D1E63"/>
    <w:rsid w:val="008D36FC"/>
    <w:rsid w:val="008D4A77"/>
    <w:rsid w:val="008E22CF"/>
    <w:rsid w:val="008E5B8E"/>
    <w:rsid w:val="008F1B32"/>
    <w:rsid w:val="008F4350"/>
    <w:rsid w:val="00900FA3"/>
    <w:rsid w:val="009110F2"/>
    <w:rsid w:val="00920F7D"/>
    <w:rsid w:val="0092557F"/>
    <w:rsid w:val="009310CF"/>
    <w:rsid w:val="009372E4"/>
    <w:rsid w:val="00937356"/>
    <w:rsid w:val="009414FF"/>
    <w:rsid w:val="00943428"/>
    <w:rsid w:val="0094638F"/>
    <w:rsid w:val="00955183"/>
    <w:rsid w:val="00956C8C"/>
    <w:rsid w:val="00962C9A"/>
    <w:rsid w:val="00966E35"/>
    <w:rsid w:val="00967DFE"/>
    <w:rsid w:val="0097112D"/>
    <w:rsid w:val="00974545"/>
    <w:rsid w:val="0097615C"/>
    <w:rsid w:val="0098508A"/>
    <w:rsid w:val="00996458"/>
    <w:rsid w:val="009A2CD0"/>
    <w:rsid w:val="009A2ECA"/>
    <w:rsid w:val="009A4C6B"/>
    <w:rsid w:val="009A7851"/>
    <w:rsid w:val="009B2B5A"/>
    <w:rsid w:val="009B41EF"/>
    <w:rsid w:val="009B5073"/>
    <w:rsid w:val="009C2031"/>
    <w:rsid w:val="009C6672"/>
    <w:rsid w:val="009D37D7"/>
    <w:rsid w:val="009D4928"/>
    <w:rsid w:val="009D4CED"/>
    <w:rsid w:val="009E7857"/>
    <w:rsid w:val="009F184F"/>
    <w:rsid w:val="009F25A0"/>
    <w:rsid w:val="00A044AB"/>
    <w:rsid w:val="00A1634F"/>
    <w:rsid w:val="00A17B75"/>
    <w:rsid w:val="00A20DFF"/>
    <w:rsid w:val="00A2262F"/>
    <w:rsid w:val="00A229E9"/>
    <w:rsid w:val="00A27D36"/>
    <w:rsid w:val="00A32DFC"/>
    <w:rsid w:val="00A3673E"/>
    <w:rsid w:val="00A40AEA"/>
    <w:rsid w:val="00A41627"/>
    <w:rsid w:val="00A43717"/>
    <w:rsid w:val="00A440D1"/>
    <w:rsid w:val="00A50D47"/>
    <w:rsid w:val="00A61C44"/>
    <w:rsid w:val="00A6458A"/>
    <w:rsid w:val="00A65710"/>
    <w:rsid w:val="00A67E73"/>
    <w:rsid w:val="00A737A8"/>
    <w:rsid w:val="00A75D54"/>
    <w:rsid w:val="00A84C9A"/>
    <w:rsid w:val="00A90D2F"/>
    <w:rsid w:val="00A95BC0"/>
    <w:rsid w:val="00AB28B1"/>
    <w:rsid w:val="00AC373B"/>
    <w:rsid w:val="00AC68B2"/>
    <w:rsid w:val="00AC6C2A"/>
    <w:rsid w:val="00AD45E6"/>
    <w:rsid w:val="00AD59AF"/>
    <w:rsid w:val="00AE4D71"/>
    <w:rsid w:val="00AE738C"/>
    <w:rsid w:val="00AE761F"/>
    <w:rsid w:val="00B0271D"/>
    <w:rsid w:val="00B04DA6"/>
    <w:rsid w:val="00B179B7"/>
    <w:rsid w:val="00B17A36"/>
    <w:rsid w:val="00B23750"/>
    <w:rsid w:val="00B2443D"/>
    <w:rsid w:val="00B24DC2"/>
    <w:rsid w:val="00B40493"/>
    <w:rsid w:val="00B46F24"/>
    <w:rsid w:val="00B50610"/>
    <w:rsid w:val="00B51C3A"/>
    <w:rsid w:val="00B644E5"/>
    <w:rsid w:val="00B72C21"/>
    <w:rsid w:val="00B731F5"/>
    <w:rsid w:val="00B75B6A"/>
    <w:rsid w:val="00B760DF"/>
    <w:rsid w:val="00B76884"/>
    <w:rsid w:val="00B76925"/>
    <w:rsid w:val="00B82998"/>
    <w:rsid w:val="00B87215"/>
    <w:rsid w:val="00BB0DEC"/>
    <w:rsid w:val="00BB15E1"/>
    <w:rsid w:val="00BB396B"/>
    <w:rsid w:val="00BC1D66"/>
    <w:rsid w:val="00BC31F3"/>
    <w:rsid w:val="00BD73D1"/>
    <w:rsid w:val="00BE3E61"/>
    <w:rsid w:val="00BF16E5"/>
    <w:rsid w:val="00BF40F4"/>
    <w:rsid w:val="00BF56BE"/>
    <w:rsid w:val="00C02073"/>
    <w:rsid w:val="00C046E3"/>
    <w:rsid w:val="00C0688B"/>
    <w:rsid w:val="00C17008"/>
    <w:rsid w:val="00C17BB9"/>
    <w:rsid w:val="00C21F90"/>
    <w:rsid w:val="00C2420E"/>
    <w:rsid w:val="00C26FDF"/>
    <w:rsid w:val="00C32675"/>
    <w:rsid w:val="00C34CE7"/>
    <w:rsid w:val="00C4223A"/>
    <w:rsid w:val="00C505C3"/>
    <w:rsid w:val="00C51F19"/>
    <w:rsid w:val="00C53505"/>
    <w:rsid w:val="00C5650F"/>
    <w:rsid w:val="00C60A87"/>
    <w:rsid w:val="00C60F3D"/>
    <w:rsid w:val="00C61494"/>
    <w:rsid w:val="00C6158A"/>
    <w:rsid w:val="00C6290F"/>
    <w:rsid w:val="00C6735C"/>
    <w:rsid w:val="00C7629C"/>
    <w:rsid w:val="00C814EC"/>
    <w:rsid w:val="00C91C88"/>
    <w:rsid w:val="00C964D8"/>
    <w:rsid w:val="00CB09F8"/>
    <w:rsid w:val="00CB5BF4"/>
    <w:rsid w:val="00CB6768"/>
    <w:rsid w:val="00CC271C"/>
    <w:rsid w:val="00CC3751"/>
    <w:rsid w:val="00CC4192"/>
    <w:rsid w:val="00CC5CC6"/>
    <w:rsid w:val="00CC6B00"/>
    <w:rsid w:val="00CD1286"/>
    <w:rsid w:val="00CD2F56"/>
    <w:rsid w:val="00CD7B9C"/>
    <w:rsid w:val="00CE1428"/>
    <w:rsid w:val="00CE63AF"/>
    <w:rsid w:val="00CF784D"/>
    <w:rsid w:val="00CF792F"/>
    <w:rsid w:val="00D007FA"/>
    <w:rsid w:val="00D04505"/>
    <w:rsid w:val="00D052F3"/>
    <w:rsid w:val="00D11935"/>
    <w:rsid w:val="00D11FB0"/>
    <w:rsid w:val="00D13E51"/>
    <w:rsid w:val="00D21415"/>
    <w:rsid w:val="00D244FF"/>
    <w:rsid w:val="00D25B20"/>
    <w:rsid w:val="00D303DD"/>
    <w:rsid w:val="00D335B5"/>
    <w:rsid w:val="00D35207"/>
    <w:rsid w:val="00D35F7F"/>
    <w:rsid w:val="00D37016"/>
    <w:rsid w:val="00D3736D"/>
    <w:rsid w:val="00D37D18"/>
    <w:rsid w:val="00D413F0"/>
    <w:rsid w:val="00D52E7A"/>
    <w:rsid w:val="00D53BF1"/>
    <w:rsid w:val="00D55404"/>
    <w:rsid w:val="00D5759B"/>
    <w:rsid w:val="00D624F8"/>
    <w:rsid w:val="00D63E09"/>
    <w:rsid w:val="00D71C09"/>
    <w:rsid w:val="00D752D2"/>
    <w:rsid w:val="00D834EA"/>
    <w:rsid w:val="00D877EC"/>
    <w:rsid w:val="00D939F9"/>
    <w:rsid w:val="00D9548D"/>
    <w:rsid w:val="00D9753B"/>
    <w:rsid w:val="00DA576C"/>
    <w:rsid w:val="00DB153A"/>
    <w:rsid w:val="00DB1A1A"/>
    <w:rsid w:val="00DB2751"/>
    <w:rsid w:val="00DB2C81"/>
    <w:rsid w:val="00DB7648"/>
    <w:rsid w:val="00DC027F"/>
    <w:rsid w:val="00DD2E0E"/>
    <w:rsid w:val="00DD3602"/>
    <w:rsid w:val="00DE3EA9"/>
    <w:rsid w:val="00DE7EB1"/>
    <w:rsid w:val="00DF2B67"/>
    <w:rsid w:val="00DF3432"/>
    <w:rsid w:val="00E1205E"/>
    <w:rsid w:val="00E13CA7"/>
    <w:rsid w:val="00E17700"/>
    <w:rsid w:val="00E22C4C"/>
    <w:rsid w:val="00E30769"/>
    <w:rsid w:val="00E314D0"/>
    <w:rsid w:val="00E3664A"/>
    <w:rsid w:val="00E40CD8"/>
    <w:rsid w:val="00E4189B"/>
    <w:rsid w:val="00E4309A"/>
    <w:rsid w:val="00E433E4"/>
    <w:rsid w:val="00E4556E"/>
    <w:rsid w:val="00E55226"/>
    <w:rsid w:val="00E7077C"/>
    <w:rsid w:val="00E72E51"/>
    <w:rsid w:val="00E736CB"/>
    <w:rsid w:val="00E837B4"/>
    <w:rsid w:val="00EA59CD"/>
    <w:rsid w:val="00EA5BCA"/>
    <w:rsid w:val="00EC3199"/>
    <w:rsid w:val="00ED1F31"/>
    <w:rsid w:val="00ED396E"/>
    <w:rsid w:val="00EE15D5"/>
    <w:rsid w:val="00EE6B30"/>
    <w:rsid w:val="00EF23F1"/>
    <w:rsid w:val="00EF6AC3"/>
    <w:rsid w:val="00F064EB"/>
    <w:rsid w:val="00F1224B"/>
    <w:rsid w:val="00F27C38"/>
    <w:rsid w:val="00F3227C"/>
    <w:rsid w:val="00F41682"/>
    <w:rsid w:val="00F42ADA"/>
    <w:rsid w:val="00F47F63"/>
    <w:rsid w:val="00F62256"/>
    <w:rsid w:val="00F65C65"/>
    <w:rsid w:val="00F65D6E"/>
    <w:rsid w:val="00FA3E78"/>
    <w:rsid w:val="00FA5119"/>
    <w:rsid w:val="00FA574A"/>
    <w:rsid w:val="00FA5C4C"/>
    <w:rsid w:val="00FA6D9E"/>
    <w:rsid w:val="00FA71C6"/>
    <w:rsid w:val="00FC003D"/>
    <w:rsid w:val="00FC065D"/>
    <w:rsid w:val="00FC5E26"/>
    <w:rsid w:val="00FD06D4"/>
    <w:rsid w:val="00FD0D83"/>
    <w:rsid w:val="00FF5C6C"/>
    <w:rsid w:val="00FF78C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E6D802"/>
  <w15:docId w15:val="{DC09DF8A-76C5-4FF9-9B68-C0781C337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68F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1F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F31"/>
    <w:rPr>
      <w:rFonts w:ascii="Tahoma" w:hAnsi="Tahoma" w:cs="Tahoma"/>
      <w:sz w:val="16"/>
      <w:szCs w:val="16"/>
    </w:rPr>
  </w:style>
  <w:style w:type="paragraph" w:styleId="Header">
    <w:name w:val="header"/>
    <w:basedOn w:val="Normal"/>
    <w:link w:val="HeaderChar"/>
    <w:uiPriority w:val="99"/>
    <w:unhideWhenUsed/>
    <w:rsid w:val="00ED1F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1F31"/>
  </w:style>
  <w:style w:type="paragraph" w:styleId="Footer">
    <w:name w:val="footer"/>
    <w:basedOn w:val="Normal"/>
    <w:link w:val="FooterChar"/>
    <w:uiPriority w:val="99"/>
    <w:unhideWhenUsed/>
    <w:rsid w:val="00ED1F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1F31"/>
  </w:style>
  <w:style w:type="character" w:styleId="Hyperlink">
    <w:name w:val="Hyperlink"/>
    <w:rsid w:val="00783452"/>
    <w:rPr>
      <w:color w:val="0000FF"/>
      <w:u w:val="single"/>
    </w:rPr>
  </w:style>
  <w:style w:type="paragraph" w:styleId="ListParagraph">
    <w:name w:val="List Paragraph"/>
    <w:basedOn w:val="Normal"/>
    <w:uiPriority w:val="34"/>
    <w:qFormat/>
    <w:rsid w:val="00FD0D83"/>
    <w:pPr>
      <w:spacing w:after="0" w:line="240" w:lineRule="auto"/>
      <w:ind w:left="720"/>
    </w:pPr>
    <w:rPr>
      <w:rFonts w:ascii="Times New Roman" w:hAnsi="Times New Roman" w:cs="Times New Roman"/>
      <w:sz w:val="24"/>
      <w:szCs w:val="24"/>
    </w:rPr>
  </w:style>
  <w:style w:type="paragraph" w:styleId="NormalWeb">
    <w:name w:val="Normal (Web)"/>
    <w:basedOn w:val="Normal"/>
    <w:uiPriority w:val="99"/>
    <w:unhideWhenUsed/>
    <w:rsid w:val="00C60A87"/>
    <w:pPr>
      <w:spacing w:after="0" w:line="240" w:lineRule="auto"/>
    </w:pPr>
    <w:rPr>
      <w:rFonts w:ascii="Times New Roman" w:eastAsia="Times New Roman" w:hAnsi="Times New Roman" w:cs="Times New Roman"/>
      <w:sz w:val="24"/>
      <w:szCs w:val="24"/>
    </w:rPr>
  </w:style>
  <w:style w:type="character" w:customStyle="1" w:styleId="edaratitle">
    <w:name w:val="edaratitle"/>
    <w:basedOn w:val="DefaultParagraphFont"/>
    <w:rsid w:val="0088542B"/>
  </w:style>
  <w:style w:type="table" w:styleId="TableGrid">
    <w:name w:val="Table Grid"/>
    <w:basedOn w:val="TableNormal"/>
    <w:rsid w:val="00227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307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24304">
      <w:bodyDiv w:val="1"/>
      <w:marLeft w:val="0"/>
      <w:marRight w:val="0"/>
      <w:marTop w:val="0"/>
      <w:marBottom w:val="0"/>
      <w:divBdr>
        <w:top w:val="none" w:sz="0" w:space="0" w:color="auto"/>
        <w:left w:val="none" w:sz="0" w:space="0" w:color="auto"/>
        <w:bottom w:val="none" w:sz="0" w:space="0" w:color="auto"/>
        <w:right w:val="none" w:sz="0" w:space="0" w:color="auto"/>
      </w:divBdr>
    </w:div>
    <w:div w:id="93135988">
      <w:bodyDiv w:val="1"/>
      <w:marLeft w:val="0"/>
      <w:marRight w:val="0"/>
      <w:marTop w:val="0"/>
      <w:marBottom w:val="0"/>
      <w:divBdr>
        <w:top w:val="none" w:sz="0" w:space="0" w:color="auto"/>
        <w:left w:val="none" w:sz="0" w:space="0" w:color="auto"/>
        <w:bottom w:val="none" w:sz="0" w:space="0" w:color="auto"/>
        <w:right w:val="none" w:sz="0" w:space="0" w:color="auto"/>
      </w:divBdr>
    </w:div>
    <w:div w:id="173691345">
      <w:bodyDiv w:val="1"/>
      <w:marLeft w:val="0"/>
      <w:marRight w:val="0"/>
      <w:marTop w:val="0"/>
      <w:marBottom w:val="0"/>
      <w:divBdr>
        <w:top w:val="none" w:sz="0" w:space="0" w:color="auto"/>
        <w:left w:val="none" w:sz="0" w:space="0" w:color="auto"/>
        <w:bottom w:val="none" w:sz="0" w:space="0" w:color="auto"/>
        <w:right w:val="none" w:sz="0" w:space="0" w:color="auto"/>
      </w:divBdr>
    </w:div>
    <w:div w:id="284117697">
      <w:bodyDiv w:val="1"/>
      <w:marLeft w:val="0"/>
      <w:marRight w:val="0"/>
      <w:marTop w:val="0"/>
      <w:marBottom w:val="0"/>
      <w:divBdr>
        <w:top w:val="none" w:sz="0" w:space="0" w:color="auto"/>
        <w:left w:val="none" w:sz="0" w:space="0" w:color="auto"/>
        <w:bottom w:val="none" w:sz="0" w:space="0" w:color="auto"/>
        <w:right w:val="none" w:sz="0" w:space="0" w:color="auto"/>
      </w:divBdr>
    </w:div>
    <w:div w:id="970284066">
      <w:bodyDiv w:val="1"/>
      <w:marLeft w:val="0"/>
      <w:marRight w:val="0"/>
      <w:marTop w:val="0"/>
      <w:marBottom w:val="0"/>
      <w:divBdr>
        <w:top w:val="none" w:sz="0" w:space="0" w:color="auto"/>
        <w:left w:val="none" w:sz="0" w:space="0" w:color="auto"/>
        <w:bottom w:val="none" w:sz="0" w:space="0" w:color="auto"/>
        <w:right w:val="none" w:sz="0" w:space="0" w:color="auto"/>
      </w:divBdr>
    </w:div>
    <w:div w:id="1195535855">
      <w:bodyDiv w:val="1"/>
      <w:marLeft w:val="0"/>
      <w:marRight w:val="0"/>
      <w:marTop w:val="0"/>
      <w:marBottom w:val="0"/>
      <w:divBdr>
        <w:top w:val="none" w:sz="0" w:space="0" w:color="auto"/>
        <w:left w:val="none" w:sz="0" w:space="0" w:color="auto"/>
        <w:bottom w:val="none" w:sz="0" w:space="0" w:color="auto"/>
        <w:right w:val="none" w:sz="0" w:space="0" w:color="auto"/>
      </w:divBdr>
    </w:div>
    <w:div w:id="1282956001">
      <w:bodyDiv w:val="1"/>
      <w:marLeft w:val="0"/>
      <w:marRight w:val="0"/>
      <w:marTop w:val="0"/>
      <w:marBottom w:val="0"/>
      <w:divBdr>
        <w:top w:val="none" w:sz="0" w:space="0" w:color="auto"/>
        <w:left w:val="none" w:sz="0" w:space="0" w:color="auto"/>
        <w:bottom w:val="none" w:sz="0" w:space="0" w:color="auto"/>
        <w:right w:val="none" w:sz="0" w:space="0" w:color="auto"/>
      </w:divBdr>
    </w:div>
    <w:div w:id="1301302303">
      <w:bodyDiv w:val="1"/>
      <w:marLeft w:val="0"/>
      <w:marRight w:val="0"/>
      <w:marTop w:val="0"/>
      <w:marBottom w:val="0"/>
      <w:divBdr>
        <w:top w:val="none" w:sz="0" w:space="0" w:color="auto"/>
        <w:left w:val="none" w:sz="0" w:space="0" w:color="auto"/>
        <w:bottom w:val="none" w:sz="0" w:space="0" w:color="auto"/>
        <w:right w:val="none" w:sz="0" w:space="0" w:color="auto"/>
      </w:divBdr>
    </w:div>
    <w:div w:id="1388145786">
      <w:bodyDiv w:val="1"/>
      <w:marLeft w:val="0"/>
      <w:marRight w:val="0"/>
      <w:marTop w:val="0"/>
      <w:marBottom w:val="0"/>
      <w:divBdr>
        <w:top w:val="none" w:sz="0" w:space="0" w:color="auto"/>
        <w:left w:val="none" w:sz="0" w:space="0" w:color="auto"/>
        <w:bottom w:val="none" w:sz="0" w:space="0" w:color="auto"/>
        <w:right w:val="none" w:sz="0" w:space="0" w:color="auto"/>
      </w:divBdr>
    </w:div>
    <w:div w:id="1462109626">
      <w:bodyDiv w:val="1"/>
      <w:marLeft w:val="0"/>
      <w:marRight w:val="0"/>
      <w:marTop w:val="0"/>
      <w:marBottom w:val="0"/>
      <w:divBdr>
        <w:top w:val="none" w:sz="0" w:space="0" w:color="auto"/>
        <w:left w:val="none" w:sz="0" w:space="0" w:color="auto"/>
        <w:bottom w:val="none" w:sz="0" w:space="0" w:color="auto"/>
        <w:right w:val="none" w:sz="0" w:space="0" w:color="auto"/>
      </w:divBdr>
    </w:div>
    <w:div w:id="1535800561">
      <w:bodyDiv w:val="1"/>
      <w:marLeft w:val="0"/>
      <w:marRight w:val="0"/>
      <w:marTop w:val="0"/>
      <w:marBottom w:val="0"/>
      <w:divBdr>
        <w:top w:val="none" w:sz="0" w:space="0" w:color="auto"/>
        <w:left w:val="none" w:sz="0" w:space="0" w:color="auto"/>
        <w:bottom w:val="none" w:sz="0" w:space="0" w:color="auto"/>
        <w:right w:val="none" w:sz="0" w:space="0" w:color="auto"/>
      </w:divBdr>
    </w:div>
    <w:div w:id="2060473028">
      <w:bodyDiv w:val="1"/>
      <w:marLeft w:val="0"/>
      <w:marRight w:val="0"/>
      <w:marTop w:val="0"/>
      <w:marBottom w:val="0"/>
      <w:divBdr>
        <w:top w:val="none" w:sz="0" w:space="0" w:color="auto"/>
        <w:left w:val="none" w:sz="0" w:space="0" w:color="auto"/>
        <w:bottom w:val="none" w:sz="0" w:space="0" w:color="auto"/>
        <w:right w:val="none" w:sz="0" w:space="0" w:color="auto"/>
      </w:divBdr>
    </w:div>
    <w:div w:id="206058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jaz@injaz.org.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Injaz%20Template%20&#1593;&#1605;&#1608;&#1583;&#1610;%20&#1502;&#1488;&#1493;&#1494;&#1503;.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79B2BD417D074241A50599FC2C1A5B28" ma:contentTypeVersion="7" ma:contentTypeDescription="צור מסמך חדש." ma:contentTypeScope="" ma:versionID="5c88786c3b05708c700bb8581dc3e64b">
  <xsd:schema xmlns:xsd="http://www.w3.org/2001/XMLSchema" xmlns:xs="http://www.w3.org/2001/XMLSchema" xmlns:p="http://schemas.microsoft.com/office/2006/metadata/properties" xmlns:ns2="76fef55e-1ae4-48b1-8706-ec2d2ec1c7e8" xmlns:ns3="9ebc1977-8f5c-4751-9ace-717e830acf6e" targetNamespace="http://schemas.microsoft.com/office/2006/metadata/properties" ma:root="true" ma:fieldsID="0c3f4c6bf9dfcedb815cf960cea70095" ns2:_="" ns3:_="">
    <xsd:import namespace="76fef55e-1ae4-48b1-8706-ec2d2ec1c7e8"/>
    <xsd:import namespace="9ebc1977-8f5c-4751-9ace-717e830acf6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fef55e-1ae4-48b1-8706-ec2d2ec1c7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c1977-8f5c-4751-9ace-717e830acf6e"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משותף עם פרטים"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ebc1977-8f5c-4751-9ace-717e830acf6e">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EF997-D407-443D-AA5C-E0B750414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fef55e-1ae4-48b1-8706-ec2d2ec1c7e8"/>
    <ds:schemaRef ds:uri="9ebc1977-8f5c-4751-9ace-717e830acf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03B57C-F4CE-4C82-9519-7B70507BE960}">
  <ds:schemaRefs>
    <ds:schemaRef ds:uri="http://schemas.microsoft.com/sharepoint/v3/contenttype/forms"/>
  </ds:schemaRefs>
</ds:datastoreItem>
</file>

<file path=customXml/itemProps3.xml><?xml version="1.0" encoding="utf-8"?>
<ds:datastoreItem xmlns:ds="http://schemas.openxmlformats.org/officeDocument/2006/customXml" ds:itemID="{40ADEB24-B3D9-45CA-A448-6F5D9F8387AC}">
  <ds:schemaRefs>
    <ds:schemaRef ds:uri="http://schemas.microsoft.com/office/2006/metadata/properties"/>
    <ds:schemaRef ds:uri="http://schemas.microsoft.com/office/infopath/2007/PartnerControls"/>
    <ds:schemaRef ds:uri="9ebc1977-8f5c-4751-9ace-717e830acf6e"/>
  </ds:schemaRefs>
</ds:datastoreItem>
</file>

<file path=customXml/itemProps4.xml><?xml version="1.0" encoding="utf-8"?>
<ds:datastoreItem xmlns:ds="http://schemas.openxmlformats.org/officeDocument/2006/customXml" ds:itemID="{56936D1B-4D77-46F2-8790-1D33C13E2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Injaz Template عمودي מאוזן</Template>
  <TotalTime>0</TotalTime>
  <Pages>2</Pages>
  <Words>905</Words>
  <Characters>4526</Characters>
  <Application>Microsoft Office Word</Application>
  <DocSecurity>0</DocSecurity>
  <Lines>37</Lines>
  <Paragraphs>10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Gavi Injaz</cp:lastModifiedBy>
  <cp:revision>2</cp:revision>
  <cp:lastPrinted>2016-04-06T07:43:00Z</cp:lastPrinted>
  <dcterms:created xsi:type="dcterms:W3CDTF">2018-11-18T11:24:00Z</dcterms:created>
  <dcterms:modified xsi:type="dcterms:W3CDTF">2018-11-18T11:24:00Z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0x01010079B2BD417D074241A50599FC2C1A5B28</vt:lpwstr>
  </property>
  <property fmtid="{D5CDD505-2E9C-101B-9397-08002B2CF9AE}" pid="3" name="Order">
    <vt:r8>2406400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